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0103EC" w:rsidRPr="0078647D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78647D">
              <w:rPr>
                <w:rFonts w:ascii="Playfair Display" w:hAnsi="Playfair Display"/>
                <w:lang w:val="en-US" w:eastAsia="en-US"/>
              </w:rPr>
              <w:t>Name of course: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78647D">
              <w:rPr>
                <w:rFonts w:ascii="Playfair Display" w:hAnsi="Playfair Display"/>
                <w:b/>
                <w:lang w:val="en-US" w:eastAsia="en-US"/>
              </w:rPr>
              <w:t>Research methodology and extension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0103EC" w:rsidRPr="007864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78647D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78647D">
              <w:rPr>
                <w:rFonts w:ascii="Playfair Display" w:hAnsi="Playfair Display"/>
                <w:lang w:val="en-US" w:eastAsia="en-US"/>
              </w:rPr>
              <w:t>: compulsory</w:t>
            </w:r>
          </w:p>
        </w:tc>
      </w:tr>
      <w:tr w:rsidR="000103EC" w:rsidRPr="007864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The proportion of the practical nature of the course, „educational character”: </w:t>
            </w:r>
          </w:p>
        </w:tc>
      </w:tr>
      <w:tr w:rsidR="000103EC" w:rsidRPr="007864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Type of course: </w:t>
            </w:r>
            <w:r w:rsidRPr="0078647D">
              <w:rPr>
                <w:rFonts w:ascii="Playfair Display" w:hAnsi="Playfair Display"/>
                <w:lang w:val="en-US" w:eastAsia="en-US"/>
              </w:rPr>
              <w:t>14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78647D">
              <w:rPr>
                <w:rFonts w:ascii="Playfair Display" w:hAnsi="Playfair Display"/>
                <w:lang w:val="en-US" w:eastAsia="en-US"/>
              </w:rPr>
              <w:t xml:space="preserve">theoretical / 14 practical, and the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>total number: 28 hours</w:t>
            </w:r>
            <w:r w:rsidRPr="0078647D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0103EC" w:rsidRPr="007864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78647D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78647D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 colloquium</w:t>
            </w:r>
          </w:p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78647D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0103EC" w:rsidRPr="007864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8647D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78647D">
              <w:rPr>
                <w:rFonts w:ascii="Playfair Display" w:hAnsi="Playfair Display"/>
                <w:lang w:val="en-US" w:eastAsia="en-US"/>
              </w:rPr>
              <w:t xml:space="preserve"> (which semester): 4</w:t>
            </w:r>
          </w:p>
        </w:tc>
      </w:tr>
      <w:tr w:rsidR="000103EC" w:rsidRPr="007864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8647D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0103EC" w:rsidRPr="0078647D" w:rsidRDefault="000103EC" w:rsidP="000103EC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103EC" w:rsidRPr="0078647D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78647D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0103EC" w:rsidRPr="0078647D" w:rsidTr="000D1F89">
        <w:trPr>
          <w:trHeight w:val="5595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1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 xml:space="preserve">st 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week </w:t>
            </w:r>
            <w:proofErr w:type="spellStart"/>
            <w:r w:rsidRPr="0078647D">
              <w:rPr>
                <w:rFonts w:ascii="Playfair Display" w:hAnsi="Playfair Display"/>
                <w:bCs/>
                <w:lang w:val="en-US" w:eastAsia="en-US"/>
              </w:rPr>
              <w:t>Specialities</w:t>
            </w:r>
            <w:proofErr w:type="spellEnd"/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and errors of human learning. Methods of the knowledge collecting process.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2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>nd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week The primary, secondary and tertiary research and their characteristics. The validity and scope of the research’s results.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3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 xml:space="preserve">rd 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>week Ethical questions of research work.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4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 xml:space="preserve">th 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>week Classification of the research work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5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 xml:space="preserve">th 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>week The research plan and the main possible errors in it.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6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 xml:space="preserve">th 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>week.</w:t>
            </w:r>
            <w:r w:rsidRPr="0078647D">
              <w:rPr>
                <w:rFonts w:ascii="Playfair Display" w:hAnsi="Playfair Display"/>
                <w:lang w:val="en-US" w:eastAsia="en-US"/>
              </w:rPr>
              <w:t xml:space="preserve"> Basic definitions of experiments. In vitro, in vivo experiments, field experiments.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7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 xml:space="preserve">th 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week </w:t>
            </w:r>
            <w:r w:rsidRPr="0078647D">
              <w:rPr>
                <w:rFonts w:ascii="Playfair Display" w:hAnsi="Playfair Display"/>
                <w:lang w:val="en-US" w:eastAsia="en-US"/>
              </w:rPr>
              <w:t>Experimental methods, planning field experiments.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8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 xml:space="preserve">th 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week </w:t>
            </w:r>
            <w:r w:rsidRPr="0078647D">
              <w:rPr>
                <w:rFonts w:ascii="Playfair Display" w:hAnsi="Playfair Display"/>
                <w:lang w:val="en-US" w:eastAsia="en-US"/>
              </w:rPr>
              <w:t>The aims of the field experiments, factors, variables, plots, treatments, repetitions.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9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>th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week </w:t>
            </w:r>
            <w:r w:rsidRPr="0078647D">
              <w:rPr>
                <w:rFonts w:ascii="Playfair Display" w:hAnsi="Playfair Display"/>
                <w:lang w:val="en-US" w:eastAsia="en-US"/>
              </w:rPr>
              <w:t>The accuracy of the experiment data, the determinant factors, homogeneity.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10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>th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week </w:t>
            </w:r>
            <w:r w:rsidRPr="0078647D">
              <w:rPr>
                <w:rFonts w:ascii="Playfair Display" w:hAnsi="Playfair Display"/>
                <w:lang w:val="en-US" w:eastAsia="en-US"/>
              </w:rPr>
              <w:t>Estimating the experimental error, and the difference between the treatments.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11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>th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week </w:t>
            </w:r>
            <w:r w:rsidRPr="0078647D">
              <w:rPr>
                <w:rFonts w:ascii="Playfair Display" w:hAnsi="Playfair Display"/>
                <w:lang w:val="en-US" w:eastAsia="en-US"/>
              </w:rPr>
              <w:t>Real and hidden replications. Computing the required repetition number.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12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>th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week </w:t>
            </w:r>
            <w:r w:rsidRPr="0078647D">
              <w:rPr>
                <w:rFonts w:ascii="Playfair Display" w:hAnsi="Playfair Display"/>
                <w:lang w:val="en-US" w:eastAsia="en-US"/>
              </w:rPr>
              <w:t>Design variations of single and multi-factor experiments, randomization.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bCs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13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>th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week Case studies. Evaluation of experiment’s data.</w:t>
            </w:r>
          </w:p>
          <w:p w:rsidR="000103EC" w:rsidRPr="0078647D" w:rsidRDefault="000103EC" w:rsidP="000D1F89">
            <w:pPr>
              <w:suppressAutoHyphens/>
              <w:spacing w:line="259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78647D">
              <w:rPr>
                <w:rFonts w:ascii="Playfair Display" w:hAnsi="Playfair Display"/>
                <w:bCs/>
                <w:lang w:val="en-US" w:eastAsia="en-US"/>
              </w:rPr>
              <w:t>14</w:t>
            </w:r>
            <w:r w:rsidRPr="0078647D">
              <w:rPr>
                <w:rFonts w:ascii="Playfair Display" w:hAnsi="Playfair Display"/>
                <w:bCs/>
                <w:vertAlign w:val="superscript"/>
                <w:lang w:val="en-US" w:eastAsia="en-US"/>
              </w:rPr>
              <w:t>th</w:t>
            </w:r>
            <w:r w:rsidRPr="0078647D">
              <w:rPr>
                <w:rFonts w:ascii="Playfair Display" w:hAnsi="Playfair Display"/>
                <w:bCs/>
                <w:lang w:val="en-US" w:eastAsia="en-US"/>
              </w:rPr>
              <w:t xml:space="preserve"> week Agricultural extension systems</w:t>
            </w:r>
          </w:p>
        </w:tc>
      </w:tr>
      <w:tr w:rsidR="000103EC" w:rsidRPr="0078647D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03EC" w:rsidRPr="0078647D" w:rsidRDefault="000103EC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0103EC" w:rsidRPr="0078647D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03EC" w:rsidRPr="0078647D" w:rsidRDefault="000103EC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0103EC" w:rsidRPr="0078647D" w:rsidRDefault="000103EC" w:rsidP="000103EC">
            <w:pPr>
              <w:numPr>
                <w:ilvl w:val="0"/>
                <w:numId w:val="34"/>
              </w:numPr>
              <w:suppressAutoHyphens/>
              <w:spacing w:line="259" w:lineRule="auto"/>
              <w:ind w:left="454"/>
              <w:jc w:val="both"/>
              <w:rPr>
                <w:rFonts w:ascii="Playfair Display" w:hAnsi="Playfair Display"/>
              </w:rPr>
            </w:pPr>
            <w:r w:rsidRPr="0078647D">
              <w:rPr>
                <w:rFonts w:ascii="Playfair Display" w:hAnsi="Playfair Display"/>
              </w:rPr>
              <w:t xml:space="preserve">Thomas C. G. (2021): Research </w:t>
            </w:r>
            <w:proofErr w:type="spellStart"/>
            <w:r w:rsidRPr="0078647D">
              <w:rPr>
                <w:rFonts w:ascii="Playfair Display" w:hAnsi="Playfair Display"/>
              </w:rPr>
              <w:t>methodology</w:t>
            </w:r>
            <w:proofErr w:type="spellEnd"/>
            <w:r w:rsidRPr="0078647D">
              <w:rPr>
                <w:rFonts w:ascii="Playfair Display" w:hAnsi="Playfair Display"/>
              </w:rPr>
              <w:t xml:space="preserve"> and </w:t>
            </w:r>
            <w:proofErr w:type="spellStart"/>
            <w:r w:rsidRPr="0078647D">
              <w:rPr>
                <w:rFonts w:ascii="Playfair Display" w:hAnsi="Playfair Display"/>
              </w:rPr>
              <w:t>scientific</w:t>
            </w:r>
            <w:proofErr w:type="spellEnd"/>
            <w:r w:rsidRPr="0078647D">
              <w:rPr>
                <w:rFonts w:ascii="Playfair Display" w:hAnsi="Playfair Display"/>
              </w:rPr>
              <w:t xml:space="preserve"> </w:t>
            </w:r>
            <w:proofErr w:type="spellStart"/>
            <w:r w:rsidRPr="0078647D">
              <w:rPr>
                <w:rFonts w:ascii="Playfair Display" w:hAnsi="Playfair Display"/>
              </w:rPr>
              <w:t>writing</w:t>
            </w:r>
            <w:proofErr w:type="spellEnd"/>
            <w:r w:rsidRPr="0078647D">
              <w:rPr>
                <w:rFonts w:ascii="Playfair Display" w:hAnsi="Playfair Display"/>
              </w:rPr>
              <w:t xml:space="preserve"> Springer ISBN 978-3-030-64864-0</w:t>
            </w:r>
          </w:p>
          <w:p w:rsidR="000103EC" w:rsidRPr="0078647D" w:rsidRDefault="000103EC" w:rsidP="000103EC">
            <w:pPr>
              <w:numPr>
                <w:ilvl w:val="0"/>
                <w:numId w:val="34"/>
              </w:numPr>
              <w:suppressAutoHyphens/>
              <w:spacing w:line="259" w:lineRule="auto"/>
              <w:ind w:left="454"/>
              <w:jc w:val="both"/>
              <w:rPr>
                <w:rFonts w:ascii="Playfair Display" w:hAnsi="Playfair Display"/>
              </w:rPr>
            </w:pPr>
            <w:proofErr w:type="spellStart"/>
            <w:r w:rsidRPr="0078647D">
              <w:rPr>
                <w:rFonts w:ascii="Playfair Display" w:hAnsi="Playfair Display"/>
              </w:rPr>
              <w:t>Cochran</w:t>
            </w:r>
            <w:proofErr w:type="spellEnd"/>
            <w:r w:rsidRPr="0078647D">
              <w:rPr>
                <w:rFonts w:ascii="Playfair Display" w:hAnsi="Playfair Display"/>
              </w:rPr>
              <w:t>, W</w:t>
            </w:r>
            <w:proofErr w:type="gramStart"/>
            <w:r w:rsidRPr="0078647D">
              <w:rPr>
                <w:rFonts w:ascii="Playfair Display" w:hAnsi="Playfair Display"/>
              </w:rPr>
              <w:t>.G</w:t>
            </w:r>
            <w:proofErr w:type="gramEnd"/>
            <w:r w:rsidRPr="0078647D">
              <w:rPr>
                <w:rFonts w:ascii="Playfair Display" w:hAnsi="Playfair Display"/>
              </w:rPr>
              <w:t xml:space="preserve">. – </w:t>
            </w:r>
            <w:proofErr w:type="spellStart"/>
            <w:r w:rsidRPr="0078647D">
              <w:rPr>
                <w:rFonts w:ascii="Playfair Display" w:hAnsi="Playfair Display"/>
              </w:rPr>
              <w:t>Cox</w:t>
            </w:r>
            <w:proofErr w:type="spellEnd"/>
            <w:r w:rsidRPr="0078647D">
              <w:rPr>
                <w:rFonts w:ascii="Playfair Display" w:hAnsi="Playfair Display"/>
              </w:rPr>
              <w:t>, G</w:t>
            </w:r>
            <w:proofErr w:type="gramStart"/>
            <w:r w:rsidRPr="0078647D">
              <w:rPr>
                <w:rFonts w:ascii="Playfair Display" w:hAnsi="Playfair Display"/>
              </w:rPr>
              <w:t>.M.</w:t>
            </w:r>
            <w:proofErr w:type="gramEnd"/>
            <w:r w:rsidRPr="0078647D">
              <w:rPr>
                <w:rFonts w:ascii="Playfair Display" w:hAnsi="Playfair Display"/>
              </w:rPr>
              <w:t xml:space="preserve"> (1966): </w:t>
            </w:r>
            <w:proofErr w:type="spellStart"/>
            <w:r w:rsidRPr="0078647D">
              <w:rPr>
                <w:rFonts w:ascii="Playfair Display" w:hAnsi="Playfair Display"/>
              </w:rPr>
              <w:t>Experimental</w:t>
            </w:r>
            <w:proofErr w:type="spellEnd"/>
            <w:r w:rsidRPr="0078647D">
              <w:rPr>
                <w:rFonts w:ascii="Playfair Display" w:hAnsi="Playfair Display"/>
              </w:rPr>
              <w:t xml:space="preserve"> </w:t>
            </w:r>
            <w:proofErr w:type="spellStart"/>
            <w:r w:rsidRPr="0078647D">
              <w:rPr>
                <w:rFonts w:ascii="Playfair Display" w:hAnsi="Playfair Display"/>
              </w:rPr>
              <w:t>Designs</w:t>
            </w:r>
            <w:proofErr w:type="spellEnd"/>
            <w:r w:rsidRPr="0078647D">
              <w:rPr>
                <w:rFonts w:ascii="Playfair Display" w:hAnsi="Playfair Display"/>
              </w:rPr>
              <w:t xml:space="preserve">, </w:t>
            </w:r>
            <w:proofErr w:type="spellStart"/>
            <w:r w:rsidRPr="0078647D">
              <w:rPr>
                <w:rFonts w:ascii="Playfair Display" w:hAnsi="Playfair Display"/>
              </w:rPr>
              <w:t>Wiley</w:t>
            </w:r>
            <w:proofErr w:type="spellEnd"/>
            <w:r w:rsidRPr="0078647D">
              <w:rPr>
                <w:rFonts w:ascii="Playfair Display" w:hAnsi="Playfair Display"/>
              </w:rPr>
              <w:t xml:space="preserve"> </w:t>
            </w:r>
            <w:proofErr w:type="spellStart"/>
            <w:r w:rsidRPr="0078647D">
              <w:rPr>
                <w:rFonts w:ascii="Playfair Display" w:hAnsi="Playfair Display"/>
              </w:rPr>
              <w:t>Publications</w:t>
            </w:r>
            <w:proofErr w:type="spellEnd"/>
            <w:r w:rsidRPr="0078647D">
              <w:rPr>
                <w:rFonts w:ascii="Playfair Display" w:hAnsi="Playfair Display"/>
              </w:rPr>
              <w:t>, New York USA</w:t>
            </w:r>
          </w:p>
          <w:p w:rsidR="000103EC" w:rsidRPr="0078647D" w:rsidRDefault="000103EC" w:rsidP="000103EC">
            <w:pPr>
              <w:numPr>
                <w:ilvl w:val="0"/>
                <w:numId w:val="34"/>
              </w:numPr>
              <w:suppressAutoHyphens/>
              <w:spacing w:line="259" w:lineRule="auto"/>
              <w:ind w:left="454"/>
              <w:jc w:val="both"/>
              <w:rPr>
                <w:rFonts w:ascii="Playfair Display" w:hAnsi="Playfair Display"/>
              </w:rPr>
            </w:pPr>
            <w:proofErr w:type="spellStart"/>
            <w:r w:rsidRPr="0078647D">
              <w:rPr>
                <w:rFonts w:ascii="Playfair Display" w:hAnsi="Playfair Display"/>
              </w:rPr>
              <w:t>Kumar</w:t>
            </w:r>
            <w:proofErr w:type="spellEnd"/>
            <w:r w:rsidRPr="0078647D">
              <w:rPr>
                <w:rFonts w:ascii="Playfair Display" w:hAnsi="Playfair Display"/>
              </w:rPr>
              <w:t xml:space="preserve">, </w:t>
            </w:r>
            <w:proofErr w:type="spellStart"/>
            <w:r w:rsidRPr="0078647D">
              <w:rPr>
                <w:rFonts w:ascii="Playfair Display" w:hAnsi="Playfair Display"/>
              </w:rPr>
              <w:t>Ranjit</w:t>
            </w:r>
            <w:proofErr w:type="spellEnd"/>
            <w:r w:rsidRPr="0078647D">
              <w:rPr>
                <w:rFonts w:ascii="Playfair Display" w:hAnsi="Playfair Display"/>
              </w:rPr>
              <w:t xml:space="preserve"> (2005): </w:t>
            </w:r>
            <w:r w:rsidRPr="0078647D">
              <w:rPr>
                <w:rFonts w:ascii="Playfair Display" w:hAnsi="Playfair Display"/>
                <w:bCs/>
              </w:rPr>
              <w:t xml:space="preserve">Research </w:t>
            </w:r>
            <w:proofErr w:type="spellStart"/>
            <w:r w:rsidRPr="0078647D">
              <w:rPr>
                <w:rFonts w:ascii="Playfair Display" w:hAnsi="Playfair Display"/>
                <w:bCs/>
              </w:rPr>
              <w:t>methodology</w:t>
            </w:r>
            <w:proofErr w:type="spellEnd"/>
            <w:r w:rsidRPr="0078647D">
              <w:rPr>
                <w:rFonts w:ascii="Playfair Display" w:hAnsi="Playfair Display"/>
                <w:bCs/>
              </w:rPr>
              <w:t>:</w:t>
            </w:r>
            <w:r w:rsidRPr="0078647D">
              <w:rPr>
                <w:rFonts w:ascii="Playfair Display" w:hAnsi="Playfair Display"/>
              </w:rPr>
              <w:t xml:space="preserve"> a </w:t>
            </w:r>
            <w:proofErr w:type="spellStart"/>
            <w:r w:rsidRPr="0078647D">
              <w:rPr>
                <w:rFonts w:ascii="Playfair Display" w:hAnsi="Playfair Display"/>
              </w:rPr>
              <w:t>step-by-step</w:t>
            </w:r>
            <w:proofErr w:type="spellEnd"/>
            <w:r w:rsidRPr="0078647D">
              <w:rPr>
                <w:rFonts w:ascii="Playfair Display" w:hAnsi="Playfair Display"/>
              </w:rPr>
              <w:t xml:space="preserve"> </w:t>
            </w:r>
            <w:proofErr w:type="spellStart"/>
            <w:r w:rsidRPr="0078647D">
              <w:rPr>
                <w:rFonts w:ascii="Playfair Display" w:hAnsi="Playfair Display"/>
              </w:rPr>
              <w:t>guide</w:t>
            </w:r>
            <w:proofErr w:type="spellEnd"/>
            <w:r w:rsidRPr="0078647D">
              <w:rPr>
                <w:rFonts w:ascii="Playfair Display" w:hAnsi="Playfair Display"/>
              </w:rPr>
              <w:t>, SAGE</w:t>
            </w:r>
          </w:p>
          <w:p w:rsidR="000103EC" w:rsidRPr="0078647D" w:rsidRDefault="000103EC" w:rsidP="000103EC">
            <w:pPr>
              <w:numPr>
                <w:ilvl w:val="0"/>
                <w:numId w:val="34"/>
              </w:numPr>
              <w:suppressAutoHyphens/>
              <w:spacing w:line="259" w:lineRule="auto"/>
              <w:ind w:left="454"/>
              <w:jc w:val="both"/>
              <w:rPr>
                <w:rFonts w:ascii="Playfair Display" w:hAnsi="Playfair Display"/>
              </w:rPr>
            </w:pPr>
            <w:proofErr w:type="spellStart"/>
            <w:r w:rsidRPr="0078647D">
              <w:rPr>
                <w:rFonts w:ascii="Playfair Display" w:hAnsi="Playfair Display"/>
              </w:rPr>
              <w:t>Creswell</w:t>
            </w:r>
            <w:proofErr w:type="spellEnd"/>
            <w:r w:rsidRPr="0078647D">
              <w:rPr>
                <w:rFonts w:ascii="Playfair Display" w:hAnsi="Playfair Display"/>
              </w:rPr>
              <w:t xml:space="preserve"> John W. (2003): Research design: </w:t>
            </w:r>
            <w:proofErr w:type="spellStart"/>
            <w:r w:rsidRPr="0078647D">
              <w:rPr>
                <w:rFonts w:ascii="Playfair Display" w:hAnsi="Playfair Display"/>
              </w:rPr>
              <w:t>qualitative</w:t>
            </w:r>
            <w:proofErr w:type="spellEnd"/>
            <w:r w:rsidRPr="0078647D">
              <w:rPr>
                <w:rFonts w:ascii="Playfair Display" w:hAnsi="Playfair Display"/>
              </w:rPr>
              <w:t xml:space="preserve">, </w:t>
            </w:r>
            <w:proofErr w:type="spellStart"/>
            <w:r w:rsidRPr="0078647D">
              <w:rPr>
                <w:rFonts w:ascii="Playfair Display" w:hAnsi="Playfair Display"/>
              </w:rPr>
              <w:t>quantitative</w:t>
            </w:r>
            <w:proofErr w:type="spellEnd"/>
            <w:r w:rsidRPr="0078647D">
              <w:rPr>
                <w:rFonts w:ascii="Playfair Display" w:hAnsi="Playfair Display"/>
              </w:rPr>
              <w:t xml:space="preserve">, and mixed </w:t>
            </w:r>
            <w:proofErr w:type="spellStart"/>
            <w:r w:rsidRPr="0078647D">
              <w:rPr>
                <w:rFonts w:ascii="Playfair Display" w:hAnsi="Playfair Display"/>
              </w:rPr>
              <w:t>method</w:t>
            </w:r>
            <w:proofErr w:type="spellEnd"/>
            <w:r w:rsidRPr="0078647D">
              <w:rPr>
                <w:rFonts w:ascii="Playfair Display" w:hAnsi="Playfair Display"/>
              </w:rPr>
              <w:t xml:space="preserve"> </w:t>
            </w:r>
            <w:proofErr w:type="spellStart"/>
            <w:r w:rsidRPr="0078647D">
              <w:rPr>
                <w:rFonts w:ascii="Playfair Display" w:hAnsi="Playfair Display"/>
              </w:rPr>
              <w:t>approaches</w:t>
            </w:r>
            <w:proofErr w:type="spellEnd"/>
          </w:p>
          <w:p w:rsidR="000103EC" w:rsidRPr="0078647D" w:rsidRDefault="000103EC" w:rsidP="000103EC">
            <w:pPr>
              <w:numPr>
                <w:ilvl w:val="0"/>
                <w:numId w:val="34"/>
              </w:numPr>
              <w:suppressAutoHyphens/>
              <w:spacing w:line="259" w:lineRule="auto"/>
              <w:ind w:left="454"/>
              <w:rPr>
                <w:rFonts w:ascii="Playfair Display" w:hAnsi="Playfair Display"/>
                <w:lang w:eastAsia="en-US"/>
              </w:rPr>
            </w:pPr>
            <w:proofErr w:type="spellStart"/>
            <w:r w:rsidRPr="0078647D">
              <w:rPr>
                <w:rFonts w:ascii="Playfair Display" w:hAnsi="Playfair Display"/>
              </w:rPr>
              <w:t>Kothari</w:t>
            </w:r>
            <w:proofErr w:type="spellEnd"/>
            <w:r w:rsidRPr="0078647D">
              <w:rPr>
                <w:rFonts w:ascii="Playfair Display" w:hAnsi="Playfair Display"/>
              </w:rPr>
              <w:t xml:space="preserve"> C.R. (2009): </w:t>
            </w:r>
            <w:r w:rsidRPr="0078647D">
              <w:rPr>
                <w:rFonts w:ascii="Playfair Display" w:hAnsi="Playfair Display"/>
                <w:lang w:eastAsia="en-US"/>
              </w:rPr>
              <w:t xml:space="preserve">Research </w:t>
            </w:r>
            <w:proofErr w:type="spellStart"/>
            <w:r w:rsidRPr="0078647D">
              <w:rPr>
                <w:rFonts w:ascii="Playfair Display" w:hAnsi="Playfair Display"/>
                <w:lang w:eastAsia="en-US"/>
              </w:rPr>
              <w:t>Methodology</w:t>
            </w:r>
            <w:proofErr w:type="spellEnd"/>
            <w:r w:rsidRPr="0078647D">
              <w:rPr>
                <w:rFonts w:ascii="Playfair Display" w:hAnsi="Playfair Display"/>
                <w:lang w:eastAsia="en-US"/>
              </w:rPr>
              <w:t xml:space="preserve">: </w:t>
            </w:r>
            <w:proofErr w:type="spellStart"/>
            <w:r w:rsidRPr="0078647D">
              <w:rPr>
                <w:rFonts w:ascii="Playfair Display" w:hAnsi="Playfair Display"/>
                <w:lang w:eastAsia="en-US"/>
              </w:rPr>
              <w:t>Methods</w:t>
            </w:r>
            <w:proofErr w:type="spellEnd"/>
            <w:r w:rsidRPr="0078647D">
              <w:rPr>
                <w:rFonts w:ascii="Playfair Display" w:hAnsi="Playfair Display"/>
                <w:lang w:eastAsia="en-US"/>
              </w:rPr>
              <w:t xml:space="preserve"> and </w:t>
            </w:r>
            <w:proofErr w:type="spellStart"/>
            <w:r w:rsidRPr="0078647D">
              <w:rPr>
                <w:rFonts w:ascii="Playfair Display" w:hAnsi="Playfair Display"/>
                <w:lang w:eastAsia="en-US"/>
              </w:rPr>
              <w:t>Techniques</w:t>
            </w:r>
            <w:proofErr w:type="spellEnd"/>
            <w:r w:rsidRPr="0078647D">
              <w:rPr>
                <w:rFonts w:ascii="Playfair Display" w:hAnsi="Playfair Display"/>
                <w:lang w:eastAsia="en-US"/>
              </w:rPr>
              <w:t xml:space="preserve"> ISBN: 978-81-224-2488-1</w:t>
            </w:r>
          </w:p>
        </w:tc>
      </w:tr>
      <w:tr w:rsidR="000103EC" w:rsidRPr="0078647D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03EC" w:rsidRPr="0078647D" w:rsidRDefault="000103EC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0103EC" w:rsidRPr="0078647D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03EC" w:rsidRPr="0078647D" w:rsidRDefault="000103EC" w:rsidP="000103E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9" w:lineRule="auto"/>
              <w:ind w:left="176" w:hanging="142"/>
              <w:rPr>
                <w:rFonts w:ascii="Playfair Display" w:hAnsi="Playfair Display"/>
                <w:b/>
                <w:lang w:val="en-US"/>
              </w:rPr>
            </w:pPr>
            <w:r w:rsidRPr="0078647D">
              <w:rPr>
                <w:rFonts w:ascii="Playfair Display" w:hAnsi="Playfair Display"/>
                <w:b/>
                <w:lang w:val="en-US"/>
              </w:rPr>
              <w:t>Knowledge: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Acquired basic knowledge of research methodology giving the basis for the research work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Acquired knowledge to up-to date methods used in scientific research and their practical application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lastRenderedPageBreak/>
              <w:t>Students will be able to proactively learn new skills and develop self for present and future progression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 xml:space="preserve">Students are capable to do adequate professional communication; can participate in the research process or in the extension system directly or support it; 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Students actively and operatively attend to implementation of R&amp;D projects</w:t>
            </w:r>
          </w:p>
          <w:p w:rsidR="000103EC" w:rsidRPr="0078647D" w:rsidRDefault="000103EC" w:rsidP="000103E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9" w:lineRule="auto"/>
              <w:ind w:left="176" w:hanging="142"/>
              <w:rPr>
                <w:rFonts w:ascii="Playfair Display" w:hAnsi="Playfair Display"/>
                <w:b/>
                <w:lang w:val="en-US"/>
              </w:rPr>
            </w:pPr>
            <w:r w:rsidRPr="0078647D">
              <w:rPr>
                <w:rFonts w:ascii="Playfair Display" w:hAnsi="Playfair Display"/>
                <w:b/>
                <w:lang w:val="en-US"/>
              </w:rPr>
              <w:t>Skills: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Ability in recognizing and solving the routine like problems occurring in the scientific research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 xml:space="preserve">Students can understand and observe the protocols and regulations connecting to the scientific research </w:t>
            </w:r>
          </w:p>
          <w:p w:rsidR="000103EC" w:rsidRPr="0078647D" w:rsidRDefault="000103EC" w:rsidP="000103E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9" w:lineRule="auto"/>
              <w:ind w:left="176" w:hanging="142"/>
              <w:rPr>
                <w:rFonts w:ascii="Playfair Display" w:hAnsi="Playfair Display"/>
                <w:b/>
                <w:lang w:val="en-US"/>
              </w:rPr>
            </w:pPr>
            <w:r w:rsidRPr="0078647D">
              <w:rPr>
                <w:rFonts w:ascii="Playfair Display" w:hAnsi="Playfair Display"/>
                <w:b/>
                <w:lang w:val="en-US"/>
              </w:rPr>
              <w:t>Attitude: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Main feature is the constructive approach to the professional questions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Students look for ways to change work methods to improve performance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Health of the individual and society beside of environmental protection plays an important part in the professional decisions</w:t>
            </w:r>
          </w:p>
          <w:p w:rsidR="000103EC" w:rsidRPr="0078647D" w:rsidRDefault="000103EC" w:rsidP="000103E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9" w:lineRule="auto"/>
              <w:ind w:left="176" w:hanging="142"/>
              <w:rPr>
                <w:rFonts w:ascii="Playfair Display" w:hAnsi="Playfair Display"/>
                <w:b/>
                <w:lang w:val="en-US"/>
              </w:rPr>
            </w:pPr>
            <w:r w:rsidRPr="0078647D">
              <w:rPr>
                <w:rFonts w:ascii="Playfair Display" w:hAnsi="Playfair Display"/>
                <w:b/>
                <w:lang w:val="en-US"/>
              </w:rPr>
              <w:t>Autonomy and responsibility: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Students are able to bear the responsibility of the decisions and responsible for own and the attached workforce’s work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Students are decisive at the right time</w:t>
            </w:r>
          </w:p>
          <w:p w:rsidR="000103EC" w:rsidRPr="0078647D" w:rsidRDefault="000103EC" w:rsidP="000103EC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9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78647D">
              <w:rPr>
                <w:rFonts w:ascii="Playfair Display" w:hAnsi="Playfair Display"/>
                <w:lang w:val="en-US"/>
              </w:rPr>
              <w:t>Based on the professional knowledge students can set up the implementation plan of R&amp;D projects independently, and bear the responsibility of direct managing of the development activity</w:t>
            </w:r>
          </w:p>
        </w:tc>
      </w:tr>
    </w:tbl>
    <w:p w:rsidR="000103EC" w:rsidRPr="0078647D" w:rsidRDefault="000103EC" w:rsidP="000103EC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103EC" w:rsidRPr="0078647D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78647D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78647D">
              <w:rPr>
                <w:rFonts w:ascii="Playfair Display" w:hAnsi="Playfair Display"/>
                <w:b/>
              </w:rPr>
              <w:t xml:space="preserve">Dr. </w:t>
            </w:r>
            <w:proofErr w:type="spellStart"/>
            <w:r w:rsidRPr="0078647D">
              <w:rPr>
                <w:rFonts w:ascii="Playfair Display" w:hAnsi="Playfair Display"/>
                <w:b/>
              </w:rPr>
              <w:t>habil</w:t>
            </w:r>
            <w:proofErr w:type="spellEnd"/>
            <w:r w:rsidRPr="0078647D">
              <w:rPr>
                <w:rFonts w:ascii="Playfair Display" w:hAnsi="Playfair Display"/>
                <w:b/>
              </w:rPr>
              <w:t xml:space="preserve"> József Csajbók, </w:t>
            </w:r>
            <w:proofErr w:type="spellStart"/>
            <w:r w:rsidRPr="0078647D">
              <w:rPr>
                <w:rFonts w:ascii="Playfair Display" w:hAnsi="Playfair Display"/>
                <w:b/>
              </w:rPr>
              <w:t>associate</w:t>
            </w:r>
            <w:proofErr w:type="spellEnd"/>
            <w:r w:rsidRPr="0078647D">
              <w:rPr>
                <w:rFonts w:ascii="Playfair Display" w:hAnsi="Playfair Display"/>
                <w:b/>
              </w:rPr>
              <w:t xml:space="preserve"> professor, </w:t>
            </w:r>
            <w:proofErr w:type="spellStart"/>
            <w:r w:rsidRPr="0078647D">
              <w:rPr>
                <w:rFonts w:ascii="Playfair Display" w:hAnsi="Playfair Display"/>
                <w:b/>
              </w:rPr>
              <w:t>Ph.D</w:t>
            </w:r>
            <w:proofErr w:type="spellEnd"/>
            <w:r w:rsidRPr="0078647D">
              <w:rPr>
                <w:rFonts w:ascii="Playfair Display" w:hAnsi="Playfair Display"/>
                <w:b/>
              </w:rPr>
              <w:t>.</w:t>
            </w:r>
          </w:p>
        </w:tc>
      </w:tr>
      <w:tr w:rsidR="000103EC" w:rsidRPr="0078647D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03EC" w:rsidRPr="0078647D" w:rsidRDefault="000103EC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78647D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78647D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</w:tbl>
    <w:p w:rsidR="00314FB7" w:rsidRPr="000103EC" w:rsidRDefault="00314FB7" w:rsidP="000103EC"/>
    <w:sectPr w:rsidR="00314FB7" w:rsidRPr="0001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38"/>
    <w:multiLevelType w:val="hybridMultilevel"/>
    <w:tmpl w:val="E07CA094"/>
    <w:lvl w:ilvl="0" w:tplc="48C66B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4603CAC"/>
    <w:multiLevelType w:val="hybridMultilevel"/>
    <w:tmpl w:val="0CC65884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D5AF8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ertAlign w:val="baseli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8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BDD0745"/>
    <w:multiLevelType w:val="hybridMultilevel"/>
    <w:tmpl w:val="DF2404C8"/>
    <w:lvl w:ilvl="0" w:tplc="823A8B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3960A1"/>
    <w:multiLevelType w:val="hybridMultilevel"/>
    <w:tmpl w:val="A4827DB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08E7148"/>
    <w:multiLevelType w:val="hybridMultilevel"/>
    <w:tmpl w:val="45BA4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9540F4E"/>
    <w:multiLevelType w:val="hybridMultilevel"/>
    <w:tmpl w:val="A3F2F60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8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8"/>
  </w:num>
  <w:num w:numId="5">
    <w:abstractNumId w:val="24"/>
  </w:num>
  <w:num w:numId="6">
    <w:abstractNumId w:val="22"/>
  </w:num>
  <w:num w:numId="7">
    <w:abstractNumId w:val="1"/>
  </w:num>
  <w:num w:numId="8">
    <w:abstractNumId w:val="0"/>
  </w:num>
  <w:num w:numId="9">
    <w:abstractNumId w:val="19"/>
  </w:num>
  <w:num w:numId="10">
    <w:abstractNumId w:val="27"/>
  </w:num>
  <w:num w:numId="11">
    <w:abstractNumId w:val="11"/>
  </w:num>
  <w:num w:numId="12">
    <w:abstractNumId w:val="10"/>
  </w:num>
  <w:num w:numId="13">
    <w:abstractNumId w:val="31"/>
  </w:num>
  <w:num w:numId="14">
    <w:abstractNumId w:val="16"/>
  </w:num>
  <w:num w:numId="15">
    <w:abstractNumId w:val="12"/>
  </w:num>
  <w:num w:numId="16">
    <w:abstractNumId w:val="6"/>
  </w:num>
  <w:num w:numId="17">
    <w:abstractNumId w:val="17"/>
  </w:num>
  <w:num w:numId="18">
    <w:abstractNumId w:val="13"/>
  </w:num>
  <w:num w:numId="19">
    <w:abstractNumId w:val="32"/>
  </w:num>
  <w:num w:numId="20">
    <w:abstractNumId w:val="7"/>
  </w:num>
  <w:num w:numId="21">
    <w:abstractNumId w:val="18"/>
  </w:num>
  <w:num w:numId="22">
    <w:abstractNumId w:val="30"/>
  </w:num>
  <w:num w:numId="23">
    <w:abstractNumId w:val="21"/>
  </w:num>
  <w:num w:numId="24">
    <w:abstractNumId w:val="8"/>
  </w:num>
  <w:num w:numId="25">
    <w:abstractNumId w:val="33"/>
  </w:num>
  <w:num w:numId="26">
    <w:abstractNumId w:val="15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23"/>
  </w:num>
  <w:num w:numId="32">
    <w:abstractNumId w:val="4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103EC"/>
    <w:rsid w:val="00030294"/>
    <w:rsid w:val="000E34D8"/>
    <w:rsid w:val="00120321"/>
    <w:rsid w:val="001E2C0B"/>
    <w:rsid w:val="001F4D9D"/>
    <w:rsid w:val="001F75D3"/>
    <w:rsid w:val="00255835"/>
    <w:rsid w:val="0026286D"/>
    <w:rsid w:val="002A5D29"/>
    <w:rsid w:val="002C0A36"/>
    <w:rsid w:val="00314FB7"/>
    <w:rsid w:val="00527EC5"/>
    <w:rsid w:val="006E1313"/>
    <w:rsid w:val="007B5C65"/>
    <w:rsid w:val="008E3AF3"/>
    <w:rsid w:val="00966C3E"/>
    <w:rsid w:val="009D08DD"/>
    <w:rsid w:val="00A45160"/>
    <w:rsid w:val="00AD0A43"/>
    <w:rsid w:val="00C35015"/>
    <w:rsid w:val="00D15FDE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2022-10-28T07:03:00Z</dcterms:created>
  <dcterms:modified xsi:type="dcterms:W3CDTF">2022-10-28T07:03:00Z</dcterms:modified>
</cp:coreProperties>
</file>